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jc w:val="center"/>
      </w:pPr>
      <w:r>
        <w:rPr>
          <w:rFonts w:ascii="Arial" w:hAnsi="Arial"/>
          <w:b/>
          <w:sz w:val="31"/>
        </w:rPr>
        <w:t>MICHAEL H. STEWART</w:t>
      </w:r>
    </w:p>
    <w:p>
      <w:pPr>
        <w:spacing w:before="0" w:after="20" w:line="240" w:lineRule="auto"/>
        <w:jc w:val="center"/>
      </w:pPr>
      <w:r>
        <w:rPr>
          <w:rFonts w:ascii="Arial" w:hAnsi="Arial"/>
          <w:b w:val="0"/>
          <w:sz w:val="16"/>
        </w:rPr>
        <w:t>Riviera Beach, Florida | 561-800-5921 | mychaelstewart876@gmail.com</w:t>
      </w:r>
    </w:p>
    <w:p>
      <w:pPr>
        <w:spacing w:before="0" w:after="40" w:line="240" w:lineRule="auto"/>
        <w:jc w:val="center"/>
      </w:pPr>
      <w:r>
        <w:rPr>
          <w:rFonts w:ascii="Arial" w:hAnsi="Arial"/>
          <w:b/>
          <w:sz w:val="16"/>
        </w:rPr>
        <w:t>INNOVATION STRATEGY | PLASMA PROCUREMENT | DONOR EXPERIENCE | OPERATIONAL TRANSFORMATION</w:t>
      </w:r>
    </w:p>
    <w:p>
      <w:pPr>
        <w:spacing w:before="80" w:after="20" w:line="240" w:lineRule="auto"/>
        <w:pBdr>
          <w:bottom w:val="single" w:sz="6" w:space="1" w:color="808080"/>
        </w:pBdr>
      </w:pPr>
      <w:r>
        <w:rPr>
          <w:rFonts w:ascii="Arial" w:hAnsi="Arial"/>
          <w:b/>
          <w:sz w:val="18"/>
        </w:rPr>
        <w:t>PROFESSIONAL SUMMARY</w:t>
      </w:r>
    </w:p>
    <w:p>
      <w:pPr>
        <w:spacing w:before="0" w:after="0" w:line="240" w:lineRule="auto"/>
      </w:pPr>
      <w:r>
        <w:rPr>
          <w:rFonts w:ascii="Arial" w:hAnsi="Arial"/>
          <w:b w:val="0"/>
          <w:sz w:val="16"/>
        </w:rPr>
        <w:t>Innovation and plasma operations leader with 20+ years of progressive experience across strategy, project management, customer experience, operational risk, quality, and regulated operations, including 4+ years in plasma procurement and center leadership. Proven ability to discover opportunity spaces, define donor and operational pain points, develop and test technology-enabled solutions, establish KPI frameworks, and translate frontline insights into measurable business value and scale-up recommendations. Experience spans donor journey analysis, service design, process redesign, digital adoption, operational intelligence, cross-functional stakeholder engagement, continuous improvement, and FDA-regulated environments. Known for balancing creativity with execution and strategy with operational reality.</w:t>
      </w:r>
    </w:p>
    <w:p>
      <w:pPr>
        <w:spacing w:before="80" w:after="20" w:line="240" w:lineRule="auto"/>
        <w:pBdr>
          <w:bottom w:val="single" w:sz="6" w:space="1" w:color="808080"/>
        </w:pBdr>
      </w:pPr>
      <w:r>
        <w:rPr>
          <w:rFonts w:ascii="Arial" w:hAnsi="Arial"/>
          <w:b/>
          <w:sz w:val="18"/>
        </w:rPr>
        <w:t>CORE INNOVATION &amp; STRATEGY COMPETENCIES</w:t>
      </w:r>
    </w:p>
    <w:p>
      <w:pPr>
        <w:spacing w:before="0" w:after="0" w:line="240" w:lineRule="auto"/>
      </w:pPr>
      <w:r>
        <w:rPr>
          <w:rFonts w:ascii="Arial" w:hAnsi="Arial"/>
          <w:b w:val="0"/>
          <w:sz w:val="16"/>
        </w:rPr>
        <w:t>Innovation Strategy &amp; Roadmaps | Discover-Define-Develop-Test | Innovation Portfolio &amp; Project Governance | Donor Journey Analysis | Customer Journey Mapping | Service Design &amp; Design Thinking | User Research &amp; Donor Insights | KPI Frameworks &amp; Performance Measurement | Strategic Recommendations | Scale-Up Strategy | Business Case Development | Operational Excellence | Technology Adoption | Cross-Functional Stakeholder Engagement | Project Management | Continuous Improvement | Regulated Healthcare / Plasma Operations | Strategic Problem Solving | Data-Driven Decision Making</w:t>
      </w:r>
    </w:p>
    <w:p>
      <w:pPr>
        <w:spacing w:before="80" w:after="20" w:line="240" w:lineRule="auto"/>
        <w:pBdr>
          <w:bottom w:val="single" w:sz="6" w:space="1" w:color="808080"/>
        </w:pBdr>
      </w:pPr>
      <w:r>
        <w:rPr>
          <w:rFonts w:ascii="Arial" w:hAnsi="Arial"/>
          <w:b/>
          <w:sz w:val="18"/>
        </w:rPr>
        <w:t>SELECTED INNOVATION PORTFOLIO</w:t>
      </w:r>
    </w:p>
    <w:p>
      <w:pPr>
        <w:spacing w:before="40" w:after="10" w:line="240" w:lineRule="auto"/>
      </w:pPr>
      <w:r>
        <w:rPr>
          <w:rFonts w:ascii="Arial" w:hAnsi="Arial"/>
          <w:b/>
          <w:sz w:val="16"/>
        </w:rPr>
        <w:t>Project Ambassador - Donor Experience, Acquisition &amp; Digital Adoption Innovation | CSL Plasma, Riviera Beach #115 | 2026</w:t>
      </w:r>
    </w:p>
    <w:p>
      <w:pPr>
        <w:spacing w:before="0" w:after="14" w:line="240" w:lineRule="auto"/>
        <w:ind w:left="230" w:hanging="158"/>
      </w:pPr>
      <w:r>
        <w:rPr>
          <w:rFonts w:ascii="Arial" w:hAnsi="Arial"/>
          <w:sz w:val="16"/>
        </w:rPr>
        <w:t>• Discovered donor-experience and digital-engagement gaps, defined a structured intervention, developed the operating model and measurement framework, and piloted the solution in a live plasma-center environment using a test-and-learn approach.</w:t>
      </w:r>
    </w:p>
    <w:p>
      <w:pPr>
        <w:spacing w:before="0" w:after="14" w:line="240" w:lineRule="auto"/>
        <w:ind w:left="230" w:hanging="158"/>
      </w:pPr>
      <w:r>
        <w:rPr>
          <w:rFonts w:ascii="Arial" w:hAnsi="Arial"/>
          <w:sz w:val="16"/>
        </w:rPr>
        <w:t>• Six-week pilot generated 85 app registrations, 38 referrals that became 38 active donors (100% reported referral activation), 113 new Google reviews, and a Google rating increase from 3.8 to 4.3.</w:t>
      </w:r>
    </w:p>
    <w:p>
      <w:pPr>
        <w:spacing w:before="0" w:after="14" w:line="240" w:lineRule="auto"/>
        <w:ind w:left="230" w:hanging="158"/>
      </w:pPr>
      <w:r>
        <w:rPr>
          <w:rFonts w:ascii="Arial" w:hAnsi="Arial"/>
          <w:sz w:val="16"/>
        </w:rPr>
        <w:t>• Connected process innovation to operational performance: average donation time improved by 1.92 minutes across 5,100 donations, equivalent to approximately 163 hours of recovered processing capacity during the pilot.</w:t>
      </w:r>
    </w:p>
    <w:p>
      <w:pPr>
        <w:spacing w:before="0" w:after="14" w:line="240" w:lineRule="auto"/>
        <w:ind w:left="230" w:hanging="158"/>
      </w:pPr>
      <w:r>
        <w:rPr>
          <w:rFonts w:ascii="Arial" w:hAnsi="Arial"/>
          <w:sz w:val="16"/>
        </w:rPr>
        <w:t>• Iterated the model through Aug. 9-22, producing 98 donor engagements and 98 app downloads (100% adoption among engaged donors) while Google reviews increased from 431 to 452 (+21).</w:t>
      </w:r>
    </w:p>
    <w:p>
      <w:pPr>
        <w:spacing w:before="0" w:after="14" w:line="240" w:lineRule="auto"/>
        <w:ind w:left="230" w:hanging="158"/>
      </w:pPr>
      <w:r>
        <w:rPr>
          <w:rFonts w:ascii="Arial" w:hAnsi="Arial"/>
          <w:sz w:val="16"/>
        </w:rPr>
        <w:t>• Built KPI tracking and scale-up recommendations to evaluate donor engagement, adoption, referrals, reputation, operational efficiency, and potential multi-center application.</w:t>
      </w:r>
    </w:p>
    <w:p>
      <w:pPr>
        <w:spacing w:before="40" w:after="10" w:line="240" w:lineRule="auto"/>
      </w:pPr>
      <w:r>
        <w:rPr>
          <w:rFonts w:ascii="Arial" w:hAnsi="Arial"/>
          <w:b/>
          <w:sz w:val="16"/>
        </w:rPr>
        <w:t>The HIVE - Operational Intelligence &amp; Performance Innovation | CSL Plasma / Independent Operational Innovation | 2026</w:t>
      </w:r>
    </w:p>
    <w:p>
      <w:pPr>
        <w:spacing w:before="0" w:after="14" w:line="240" w:lineRule="auto"/>
        <w:ind w:left="230" w:hanging="158"/>
      </w:pPr>
      <w:r>
        <w:rPr>
          <w:rFonts w:ascii="Arial" w:hAnsi="Arial"/>
          <w:sz w:val="16"/>
        </w:rPr>
        <w:t>• Conceptualized and developed an operational-intelligence platform that converts fragmented center data into actionable insight across plasma production, workforce performance, scheduling, donor experience, quality, recognition, and accountability.</w:t>
      </w:r>
    </w:p>
    <w:p>
      <w:pPr>
        <w:spacing w:before="0" w:after="14" w:line="240" w:lineRule="auto"/>
        <w:ind w:left="230" w:hanging="158"/>
      </w:pPr>
      <w:r>
        <w:rPr>
          <w:rFonts w:ascii="Arial" w:hAnsi="Arial"/>
          <w:sz w:val="16"/>
        </w:rPr>
        <w:t>• Designed KPI frameworks, performance measurement systems, roles, permissions, center-specific goals, budgets, and multi-center architecture to connect enterprise objectives with center, team, and individual performance.</w:t>
      </w:r>
    </w:p>
    <w:p>
      <w:pPr>
        <w:spacing w:before="0" w:after="14" w:line="240" w:lineRule="auto"/>
        <w:ind w:left="230" w:hanging="158"/>
      </w:pPr>
      <w:r>
        <w:rPr>
          <w:rFonts w:ascii="Arial" w:hAnsi="Arial"/>
          <w:sz w:val="16"/>
        </w:rPr>
        <w:t>• Evolved the platform toward AI-assisted diagnostic and prospective intelligence designed to explain performance patterns, identify risks, anticipate operational implications, and generate management recommendations while preserving trusted deterministic calculations.</w:t>
      </w:r>
    </w:p>
    <w:p>
      <w:pPr>
        <w:spacing w:before="0" w:after="14" w:line="240" w:lineRule="auto"/>
        <w:ind w:left="230" w:hanging="158"/>
      </w:pPr>
      <w:r>
        <w:rPr>
          <w:rFonts w:ascii="Arial" w:hAnsi="Arial"/>
          <w:sz w:val="16"/>
        </w:rPr>
        <w:t>• Applied iterative development, stakeholder feedback, workflow analysis, and future-state design to translate frontline problems into functional requirements and scalable technology concepts.</w:t>
      </w:r>
    </w:p>
    <w:p>
      <w:pPr>
        <w:spacing w:before="40" w:after="10" w:line="240" w:lineRule="auto"/>
      </w:pPr>
      <w:r>
        <w:rPr>
          <w:rFonts w:ascii="Arial" w:hAnsi="Arial"/>
          <w:b/>
          <w:sz w:val="16"/>
        </w:rPr>
        <w:t>New Donor Digital Check-In &amp; Journey Innovation | CSL Plasma / Donor Experience Innovation | 2026</w:t>
      </w:r>
    </w:p>
    <w:p>
      <w:pPr>
        <w:spacing w:before="0" w:after="14" w:line="240" w:lineRule="auto"/>
        <w:ind w:left="230" w:hanging="158"/>
      </w:pPr>
      <w:r>
        <w:rPr>
          <w:rFonts w:ascii="Arial" w:hAnsi="Arial"/>
          <w:sz w:val="16"/>
        </w:rPr>
        <w:t>• Conducted donor journey analysis to identify check-in friction, communication gaps, delays, and repetitive manual steps; translated findings into strategic problem statements and a technology-enabled future-state workflow.</w:t>
      </w:r>
    </w:p>
    <w:p>
      <w:pPr>
        <w:spacing w:before="0" w:after="14" w:line="240" w:lineRule="auto"/>
        <w:ind w:left="230" w:hanging="158"/>
      </w:pPr>
      <w:r>
        <w:rPr>
          <w:rFonts w:ascii="Arial" w:hAnsi="Arial"/>
          <w:sz w:val="16"/>
        </w:rPr>
        <w:t>• Designed functional concepts for real-time queue visibility, donor insight capture, referral-source tracking, mobile/email engagement, multilingual support, and center-level analytics to strengthen donor experience and operational visibility.</w:t>
      </w:r>
    </w:p>
    <w:p>
      <w:pPr>
        <w:spacing w:before="0" w:after="14" w:line="240" w:lineRule="auto"/>
        <w:ind w:left="230" w:hanging="158"/>
      </w:pPr>
      <w:r>
        <w:rPr>
          <w:rFonts w:ascii="Arial" w:hAnsi="Arial"/>
          <w:sz w:val="16"/>
        </w:rPr>
        <w:t>• Used service-design and test-and-learn principles to develop the solution around real plasma-center workflows, measurable adoption, operational practicality, and scalability.</w:t>
      </w:r>
    </w:p>
    <w:p>
      <w:pPr>
        <w:spacing w:before="80" w:after="20" w:line="240" w:lineRule="auto"/>
        <w:pBdr>
          <w:bottom w:val="single" w:sz="6" w:space="1" w:color="808080"/>
        </w:pBdr>
      </w:pPr>
      <w:r>
        <w:rPr>
          <w:rFonts w:ascii="Arial" w:hAnsi="Arial"/>
          <w:b/>
          <w:sz w:val="18"/>
        </w:rPr>
        <w:t>PLASMA LEADERSHIP &amp; TRANSFORMATION EXPERIENCE</w:t>
      </w:r>
    </w:p>
    <w:p>
      <w:pPr>
        <w:spacing w:before="40" w:after="10" w:line="240" w:lineRule="auto"/>
      </w:pPr>
      <w:r>
        <w:rPr>
          <w:rFonts w:ascii="Arial" w:hAnsi="Arial"/>
          <w:b/>
          <w:sz w:val="16"/>
        </w:rPr>
        <w:t>Center Manager - Riviera Beach 115 | CSL Plasma, Florida | 2026-Present</w:t>
      </w:r>
    </w:p>
    <w:p>
      <w:pPr>
        <w:spacing w:before="0" w:after="14" w:line="240" w:lineRule="auto"/>
        <w:ind w:left="230" w:hanging="158"/>
      </w:pPr>
      <w:r>
        <w:rPr>
          <w:rFonts w:ascii="Arial" w:hAnsi="Arial"/>
          <w:sz w:val="16"/>
        </w:rPr>
        <w:t>• Lead an FDA-regulated plasma center across operations, donor experience, quality, workforce performance, financial performance, and continuous improvement; use production, labor, yield, service, and quality KPIs to identify opportunity spaces and prioritize interventions.</w:t>
      </w:r>
    </w:p>
    <w:p>
      <w:pPr>
        <w:spacing w:before="0" w:after="14" w:line="240" w:lineRule="auto"/>
        <w:ind w:left="230" w:hanging="158"/>
      </w:pPr>
      <w:r>
        <w:rPr>
          <w:rFonts w:ascii="Arial" w:hAnsi="Arial"/>
          <w:sz w:val="16"/>
        </w:rPr>
        <w:t>• Sponsor and execute center-level experimentation by identifying donor and workforce pain points, developing digital and process solutions, piloting changes in live operations, measuring results, and refining concepts for broader adoption.</w:t>
      </w:r>
    </w:p>
    <w:p>
      <w:pPr>
        <w:spacing w:before="40" w:after="10" w:line="240" w:lineRule="auto"/>
      </w:pPr>
      <w:r>
        <w:rPr>
          <w:rFonts w:ascii="Arial" w:hAnsi="Arial"/>
          <w:b/>
          <w:sz w:val="16"/>
        </w:rPr>
        <w:t>Center Manager - Glen Burnie 136 | CSL Plasma | 2025-2026</w:t>
      </w:r>
    </w:p>
    <w:p>
      <w:pPr>
        <w:spacing w:before="0" w:after="14" w:line="240" w:lineRule="auto"/>
        <w:ind w:left="230" w:hanging="158"/>
      </w:pPr>
      <w:r>
        <w:rPr>
          <w:rFonts w:ascii="Arial" w:hAnsi="Arial"/>
          <w:sz w:val="16"/>
        </w:rPr>
        <w:t>• Transformed an underperforming center through workforce redesign, donor-flow innovation, performance-management discipline, and targeted operational interventions; weekly donor/customer traffic increased from fewer than 600 to approximately 1,100 (~83%).</w:t>
      </w:r>
    </w:p>
    <w:p>
      <w:pPr>
        <w:spacing w:before="0" w:after="14" w:line="240" w:lineRule="auto"/>
        <w:ind w:left="230" w:hanging="158"/>
      </w:pPr>
      <w:r>
        <w:rPr>
          <w:rFonts w:ascii="Arial" w:hAnsi="Arial"/>
          <w:sz w:val="16"/>
        </w:rPr>
        <w:t>• Redesigned daily operating practices to remove throughput constraints and strengthen donor flow while maintaining safety, quality, and regulatory requirements.</w:t>
      </w:r>
    </w:p>
    <w:p>
      <w:pPr>
        <w:spacing w:before="0" w:after="14" w:line="240" w:lineRule="auto"/>
        <w:ind w:left="230" w:hanging="158"/>
      </w:pPr>
      <w:r>
        <w:rPr>
          <w:rFonts w:ascii="Arial" w:hAnsi="Arial"/>
          <w:sz w:val="16"/>
        </w:rPr>
        <w:t>• Rebuilt the operating culture around accountability, compliance, and execution and successfully led the center through FDA, GHA, and internal audits.</w:t>
      </w:r>
    </w:p>
    <w:p>
      <w:pPr>
        <w:spacing w:before="40" w:after="10" w:line="240" w:lineRule="auto"/>
      </w:pPr>
      <w:r>
        <w:rPr>
          <w:rFonts w:ascii="Arial" w:hAnsi="Arial"/>
          <w:b/>
          <w:sz w:val="16"/>
        </w:rPr>
        <w:t>Assistant Center Manager - Clifton 255 | CSL Plasma | 2024-2025</w:t>
      </w:r>
    </w:p>
    <w:p>
      <w:pPr>
        <w:spacing w:before="0" w:after="14" w:line="240" w:lineRule="auto"/>
        <w:ind w:left="230" w:hanging="158"/>
      </w:pPr>
      <w:r>
        <w:rPr>
          <w:rFonts w:ascii="Arial" w:hAnsi="Arial"/>
          <w:sz w:val="16"/>
        </w:rPr>
        <w:t>• Conducted frontline employee research to identify drivers of call-outs and burnout; staff feedback consistently identified stronger, visible management presence in production as a key opportunity to improve support, engagement, and willingness to report to work.</w:t>
      </w:r>
    </w:p>
    <w:p>
      <w:pPr>
        <w:spacing w:before="0" w:after="14" w:line="240" w:lineRule="auto"/>
        <w:ind w:left="230" w:hanging="158"/>
      </w:pPr>
      <w:r>
        <w:rPr>
          <w:rFonts w:ascii="Arial" w:hAnsi="Arial"/>
          <w:sz w:val="16"/>
        </w:rPr>
        <w:t>• Designed and launched “Power Play,” a structured leadership intervention requiring managers to spend at least one hour embedded in production areas - or remain until the operational bottleneck was resolved - providing hands-on support, real-time problem solving, and visible leadership during high-demand periods.</w:t>
      </w:r>
    </w:p>
    <w:p>
      <w:pPr>
        <w:spacing w:before="0" w:after="14" w:line="240" w:lineRule="auto"/>
        <w:ind w:left="230" w:hanging="158"/>
      </w:pPr>
      <w:r>
        <w:rPr>
          <w:rFonts w:ascii="Arial" w:hAnsi="Arial"/>
          <w:sz w:val="16"/>
        </w:rPr>
        <w:t>• Power Play was associated with a 40% reduction in call-outs during 2024-2025 and was subsequently adapted fleetwide as “Power Hour,” demonstrating the scalability of a locally developed employee-experience and operational innovation.</w:t>
      </w:r>
    </w:p>
    <w:p>
      <w:pPr>
        <w:spacing w:before="0" w:after="14" w:line="240" w:lineRule="auto"/>
        <w:ind w:left="230" w:hanging="158"/>
      </w:pPr>
      <w:r>
        <w:rPr>
          <w:rFonts w:ascii="Arial" w:hAnsi="Arial"/>
          <w:sz w:val="16"/>
        </w:rPr>
        <w:t>• Helped drive center transformation that increased weekly volume from fewer than 1,000 to more than 1,200 through donor-flow optimization, workforce planning, scheduling, performance management, and service-access improvements.</w:t>
      </w:r>
    </w:p>
    <w:p>
      <w:pPr>
        <w:spacing w:before="0" w:after="14" w:line="240" w:lineRule="auto"/>
        <w:ind w:left="230" w:hanging="158"/>
      </w:pPr>
      <w:r>
        <w:rPr>
          <w:rFonts w:ascii="Arial" w:hAnsi="Arial"/>
          <w:sz w:val="16"/>
        </w:rPr>
        <w:t>• Led transition toward a fully bilingual operating environment, treating donor accessibility as a service-design opportunity and redesigning communication practices to better serve the center population.</w:t>
      </w:r>
    </w:p>
    <w:p>
      <w:pPr>
        <w:spacing w:before="40" w:after="10" w:line="240" w:lineRule="auto"/>
      </w:pPr>
      <w:r>
        <w:rPr>
          <w:rFonts w:ascii="Arial" w:hAnsi="Arial"/>
          <w:b/>
          <w:sz w:val="16"/>
        </w:rPr>
        <w:t>Management Trainee - Operations - Columbus 150 | CSL Plasma | 2023-2024</w:t>
      </w:r>
    </w:p>
    <w:p>
      <w:pPr>
        <w:spacing w:before="0" w:after="14" w:line="240" w:lineRule="auto"/>
        <w:ind w:left="230" w:hanging="158"/>
      </w:pPr>
      <w:r>
        <w:rPr>
          <w:rFonts w:ascii="Arial" w:hAnsi="Arial"/>
          <w:sz w:val="16"/>
        </w:rPr>
        <w:t>• Identified preventable new-donor loss caused by readiness and attire barriers that resulted in otherwise eligible prospects being turned away, including donors who had not eaten and donors whose clothing prevented required arm checks or met center modesty concerns.</w:t>
      </w:r>
    </w:p>
    <w:p>
      <w:pPr>
        <w:spacing w:before="0" w:after="14" w:line="240" w:lineRule="auto"/>
        <w:ind w:left="230" w:hanging="158"/>
      </w:pPr>
      <w:r>
        <w:rPr>
          <w:rFonts w:ascii="Arial" w:hAnsi="Arial"/>
          <w:sz w:val="16"/>
        </w:rPr>
        <w:t>• Redesigned the new-donor readiness process to solve those barriers at the point of service, shifting the operating mindset from rejection to problem resolution while preserving donor safety, screening requirements, and compliance.</w:t>
      </w:r>
    </w:p>
    <w:p>
      <w:pPr>
        <w:spacing w:before="0" w:after="14" w:line="240" w:lineRule="auto"/>
        <w:ind w:left="230" w:hanging="158"/>
      </w:pPr>
      <w:r>
        <w:rPr>
          <w:rFonts w:ascii="Arial" w:hAnsi="Arial"/>
          <w:sz w:val="16"/>
        </w:rPr>
        <w:t>• Established practical donor-centered countermeasures and clearer readiness support so correctable issues could be resolved rather than automatically becoming lost donor opportunities - an early example of using journey analysis, service design, and frontline experimentation to improve access and conversion.</w:t>
      </w:r>
    </w:p>
    <w:p>
      <w:pPr>
        <w:spacing w:before="40" w:after="10" w:line="240" w:lineRule="auto"/>
      </w:pPr>
      <w:r>
        <w:rPr>
          <w:rFonts w:ascii="Arial" w:hAnsi="Arial"/>
          <w:b/>
          <w:sz w:val="16"/>
        </w:rPr>
        <w:t>Quality Specialist - Riviera Beach 115 | CSL Plasma | 2022-2023</w:t>
      </w:r>
    </w:p>
    <w:p>
      <w:pPr>
        <w:spacing w:before="0" w:after="14" w:line="240" w:lineRule="auto"/>
        <w:ind w:left="230" w:hanging="158"/>
      </w:pPr>
      <w:r>
        <w:rPr>
          <w:rFonts w:ascii="Arial" w:hAnsi="Arial"/>
          <w:sz w:val="16"/>
        </w:rPr>
        <w:t>• Conducted quality audits, compliance assessments, risk identification, and corrective-action work in an FDA-regulated plasma environment, building the regulatory lens used to ensure innovation and process change remain safe, compliant, and executable.</w:t>
      </w:r>
    </w:p>
    <w:p>
      <w:pPr>
        <w:spacing w:before="80" w:after="20" w:line="240" w:lineRule="auto"/>
        <w:pBdr>
          <w:bottom w:val="single" w:sz="6" w:space="1" w:color="808080"/>
        </w:pBdr>
      </w:pPr>
      <w:r>
        <w:rPr>
          <w:rFonts w:ascii="Arial" w:hAnsi="Arial"/>
          <w:b/>
          <w:sz w:val="18"/>
        </w:rPr>
        <w:t>ADDITIONAL STRATEGIC &amp; LEADERSHIP EXPERIENCE</w:t>
      </w:r>
    </w:p>
    <w:p>
      <w:pPr>
        <w:spacing w:before="40" w:after="10" w:line="240" w:lineRule="auto"/>
      </w:pPr>
      <w:r>
        <w:rPr>
          <w:rFonts w:ascii="Arial" w:hAnsi="Arial"/>
          <w:b/>
          <w:sz w:val="16"/>
        </w:rPr>
        <w:t>Complaints Manager, Merchant Support &amp; Fraud Prevention | National Commercial Bank | 2003-2019</w:t>
      </w:r>
    </w:p>
    <w:p>
      <w:pPr>
        <w:spacing w:before="0" w:after="14" w:line="240" w:lineRule="auto"/>
        <w:ind w:left="230" w:hanging="158"/>
      </w:pPr>
      <w:r>
        <w:rPr>
          <w:rFonts w:ascii="Arial" w:hAnsi="Arial"/>
          <w:sz w:val="16"/>
        </w:rPr>
        <w:t>• Progressed through positions of increasing responsibility during a 16-year financial-services career spanning customer experience, merchant support, operational risk, fraud prevention, audits, analytics, stakeholder management, problem solving, and people leadership.</w:t>
      </w:r>
    </w:p>
    <w:p>
      <w:pPr>
        <w:spacing w:before="0" w:after="14" w:line="240" w:lineRule="auto"/>
        <w:ind w:left="230" w:hanging="158"/>
      </w:pPr>
      <w:r>
        <w:rPr>
          <w:rFonts w:ascii="Arial" w:hAnsi="Arial"/>
          <w:sz w:val="16"/>
        </w:rPr>
        <w:t>• Led complex issue resolution and cross-functional stakeholder coordination, strengthening a long-term foundation in customer insight, risk-based decision making, governance, and service improvement.</w:t>
      </w:r>
    </w:p>
    <w:p>
      <w:pPr>
        <w:spacing w:before="80" w:after="20" w:line="240" w:lineRule="auto"/>
        <w:pBdr>
          <w:bottom w:val="single" w:sz="6" w:space="1" w:color="808080"/>
        </w:pBdr>
      </w:pPr>
      <w:r>
        <w:rPr>
          <w:rFonts w:ascii="Arial" w:hAnsi="Arial"/>
          <w:b/>
          <w:sz w:val="18"/>
        </w:rPr>
        <w:t>EDUCATION &amp; TECHNOLOGY</w:t>
      </w:r>
    </w:p>
    <w:p>
      <w:pPr>
        <w:spacing w:before="40" w:after="10" w:line="240" w:lineRule="auto"/>
      </w:pPr>
      <w:r>
        <w:rPr>
          <w:rFonts w:ascii="Arial" w:hAnsi="Arial"/>
          <w:b/>
          <w:sz w:val="16"/>
        </w:rPr>
        <w:t>Master of Science (M.S.), Business Analytics - University of Dallas, Satish &amp; Yasmin Gupta College of Business | Expected 2028</w:t>
      </w:r>
    </w:p>
    <w:p>
      <w:pPr>
        <w:spacing w:before="40" w:after="10" w:line="240" w:lineRule="auto"/>
      </w:pPr>
      <w:r>
        <w:rPr>
          <w:rFonts w:ascii="Arial" w:hAnsi="Arial"/>
          <w:b/>
          <w:sz w:val="16"/>
        </w:rPr>
        <w:t>Bachelor of Science (BSc), Business Administration - University College of the Caribbean (UCC), Jamaica</w:t>
      </w:r>
    </w:p>
    <w:p>
      <w:pPr>
        <w:spacing w:before="0" w:after="0" w:line="240" w:lineRule="auto"/>
      </w:pPr>
      <w:r>
        <w:rPr>
          <w:rFonts w:ascii="Arial" w:hAnsi="Arial"/>
          <w:b w:val="0"/>
          <w:sz w:val="16"/>
        </w:rPr>
        <w:t>Technology &amp; Analytics: Microsoft Excel | KPI &amp; Performance Dashboards | Data Analysis | Digital Workflow Design | Operational Reporting | Technology-Enabled Process Improvement | Performance Measurement | AI-Assisted Operational Intelligence Concepts</w:t>
      </w:r>
    </w:p>
    <w:sectPr w:rsidR="00FC693F" w:rsidRPr="0006063C" w:rsidSect="00034616">
      <w:footerReference w:type="default" r:id="rId9"/>
      <w:pgSz w:w="12240" w:h="15840"/>
      <w:pgMar w:top="605" w:right="835" w:bottom="605" w:left="83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787878"/>
        <w:sz w:val="14"/>
      </w:rPr>
      <w:t>Michael H. Stewart | Executive Resume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